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7B5E" w14:textId="2E4ED373" w:rsidR="00156F1E" w:rsidRPr="009206C9" w:rsidRDefault="009206C9" w:rsidP="009206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06C9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920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06C9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  <w:r w:rsidRPr="009206C9">
        <w:rPr>
          <w:rFonts w:ascii="Times New Roman" w:hAnsi="Times New Roman" w:cs="Times New Roman"/>
          <w:b/>
          <w:bCs/>
          <w:sz w:val="24"/>
          <w:szCs w:val="24"/>
        </w:rPr>
        <w:t xml:space="preserve"> Negeri RI</w:t>
      </w:r>
      <w:r w:rsidR="00541D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206C9">
        <w:rPr>
          <w:rFonts w:ascii="Times New Roman" w:hAnsi="Times New Roman" w:cs="Times New Roman"/>
          <w:b/>
          <w:bCs/>
          <w:sz w:val="24"/>
          <w:szCs w:val="24"/>
        </w:rPr>
        <w:t>Isu</w:t>
      </w:r>
      <w:proofErr w:type="spellEnd"/>
      <w:r w:rsidRPr="009206C9">
        <w:rPr>
          <w:rFonts w:ascii="Times New Roman" w:hAnsi="Times New Roman" w:cs="Times New Roman"/>
          <w:b/>
          <w:bCs/>
          <w:sz w:val="24"/>
          <w:szCs w:val="24"/>
        </w:rPr>
        <w:t xml:space="preserve"> HAM</w:t>
      </w:r>
      <w:r w:rsidR="00091D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41DEE">
        <w:rPr>
          <w:rFonts w:ascii="Times New Roman" w:hAnsi="Times New Roman" w:cs="Times New Roman"/>
          <w:b/>
          <w:bCs/>
          <w:sz w:val="24"/>
          <w:szCs w:val="24"/>
        </w:rPr>
        <w:t>Peran</w:t>
      </w:r>
      <w:proofErr w:type="spellEnd"/>
      <w:r w:rsidR="00541DEE">
        <w:rPr>
          <w:rFonts w:ascii="Times New Roman" w:hAnsi="Times New Roman" w:cs="Times New Roman"/>
          <w:b/>
          <w:bCs/>
          <w:sz w:val="24"/>
          <w:szCs w:val="24"/>
        </w:rPr>
        <w:t xml:space="preserve"> AICHR</w:t>
      </w:r>
      <w:r w:rsidR="00091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17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F617E" w:rsidRPr="00EF6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ASEAN Intergovernmental Commission </w:t>
      </w:r>
      <w:r w:rsidR="00985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</w:t>
      </w:r>
      <w:r w:rsidR="00EF617E" w:rsidRPr="00EF6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Human Rights</w:t>
      </w:r>
      <w:r w:rsidR="00EF617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91D68">
        <w:rPr>
          <w:rFonts w:ascii="Times New Roman" w:hAnsi="Times New Roman" w:cs="Times New Roman"/>
          <w:b/>
          <w:bCs/>
          <w:sz w:val="24"/>
          <w:szCs w:val="24"/>
        </w:rPr>
        <w:t>dan BDF</w:t>
      </w:r>
      <w:r w:rsidR="00541D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06C9">
        <w:rPr>
          <w:rFonts w:ascii="Times New Roman" w:hAnsi="Times New Roman" w:cs="Times New Roman"/>
          <w:b/>
          <w:bCs/>
          <w:sz w:val="24"/>
          <w:szCs w:val="24"/>
        </w:rPr>
        <w:t>Sesi</w:t>
      </w:r>
      <w:proofErr w:type="spellEnd"/>
      <w:r w:rsidRPr="009206C9">
        <w:rPr>
          <w:rFonts w:ascii="Times New Roman" w:hAnsi="Times New Roman" w:cs="Times New Roman"/>
          <w:b/>
          <w:bCs/>
          <w:sz w:val="24"/>
          <w:szCs w:val="24"/>
        </w:rPr>
        <w:t xml:space="preserve"> 10:</w:t>
      </w:r>
    </w:p>
    <w:p w14:paraId="531C819E" w14:textId="07A55DC3" w:rsidR="009206C9" w:rsidRDefault="009206C9" w:rsidP="00920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AA50E" w14:textId="2520A249" w:rsidR="009206C9" w:rsidRPr="00B02CA3" w:rsidRDefault="00B02CA3" w:rsidP="00B02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2CA3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  <w:r w:rsidRPr="00B02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FEA062" w14:textId="5425AB94" w:rsidR="00B02CA3" w:rsidRDefault="00B02CA3" w:rsidP="00B02CA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RI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CA3">
        <w:rPr>
          <w:rFonts w:ascii="Times New Roman" w:hAnsi="Times New Roman" w:cs="Times New Roman"/>
          <w:b/>
          <w:bCs/>
          <w:sz w:val="24"/>
          <w:szCs w:val="24"/>
        </w:rPr>
        <w:t>reputasi</w:t>
      </w:r>
      <w:proofErr w:type="spellEnd"/>
      <w:r w:rsidRPr="00B02CA3">
        <w:rPr>
          <w:rFonts w:ascii="Times New Roman" w:hAnsi="Times New Roman" w:cs="Times New Roman"/>
          <w:b/>
          <w:bCs/>
          <w:sz w:val="24"/>
          <w:szCs w:val="24"/>
        </w:rPr>
        <w:t xml:space="preserve"> Indonesia di </w:t>
      </w:r>
      <w:proofErr w:type="spellStart"/>
      <w:r w:rsidRPr="00B02CA3">
        <w:rPr>
          <w:rFonts w:ascii="Times New Roman" w:hAnsi="Times New Roman" w:cs="Times New Roman"/>
          <w:b/>
          <w:bCs/>
          <w:sz w:val="24"/>
          <w:szCs w:val="24"/>
        </w:rPr>
        <w:t>mata</w:t>
      </w:r>
      <w:proofErr w:type="spellEnd"/>
      <w:r w:rsidRPr="00B02CA3">
        <w:rPr>
          <w:rFonts w:ascii="Times New Roman" w:hAnsi="Times New Roman" w:cs="Times New Roman"/>
          <w:b/>
          <w:bCs/>
          <w:sz w:val="24"/>
          <w:szCs w:val="24"/>
        </w:rPr>
        <w:t xml:space="preserve"> dunia </w:t>
      </w:r>
      <w:proofErr w:type="spellStart"/>
      <w:r w:rsidRPr="00B02CA3">
        <w:rPr>
          <w:rFonts w:ascii="Times New Roman" w:hAnsi="Times New Roman" w:cs="Times New Roman"/>
          <w:b/>
          <w:bCs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2CA3">
        <w:rPr>
          <w:rFonts w:ascii="Times New Roman" w:hAnsi="Times New Roman" w:cs="Times New Roman"/>
          <w:b/>
          <w:bCs/>
          <w:sz w:val="24"/>
          <w:szCs w:val="24"/>
        </w:rPr>
        <w:t>pencapaian</w:t>
      </w:r>
      <w:proofErr w:type="spellEnd"/>
      <w:r w:rsidRPr="00B02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A3">
        <w:rPr>
          <w:rFonts w:ascii="Times New Roman" w:hAnsi="Times New Roman" w:cs="Times New Roman"/>
          <w:b/>
          <w:bCs/>
          <w:sz w:val="24"/>
          <w:szCs w:val="24"/>
        </w:rPr>
        <w:t>kepentingan</w:t>
      </w:r>
      <w:proofErr w:type="spellEnd"/>
      <w:r w:rsidRPr="00B02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A3">
        <w:rPr>
          <w:rFonts w:ascii="Times New Roman" w:hAnsi="Times New Roman" w:cs="Times New Roman"/>
          <w:b/>
          <w:bCs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embargo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boikot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ACBB037" w14:textId="621FC031" w:rsidR="00B02CA3" w:rsidRDefault="00C32478" w:rsidP="00B02CA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2478">
        <w:rPr>
          <w:rFonts w:ascii="Times New Roman" w:hAnsi="Times New Roman" w:cs="Times New Roman"/>
          <w:i/>
          <w:iCs/>
          <w:sz w:val="24"/>
          <w:szCs w:val="24"/>
        </w:rPr>
        <w:t>civil and political rights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990B78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990B78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="0099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B78">
        <w:rPr>
          <w:rFonts w:ascii="Times New Roman" w:hAnsi="Times New Roman" w:cs="Times New Roman"/>
          <w:sz w:val="24"/>
          <w:szCs w:val="24"/>
        </w:rPr>
        <w:t>internasionalnya</w:t>
      </w:r>
      <w:proofErr w:type="spellEnd"/>
      <w:r w:rsidR="0099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B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9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B78">
        <w:rPr>
          <w:rFonts w:ascii="Times New Roman" w:hAnsi="Times New Roman" w:cs="Times New Roman"/>
          <w:sz w:val="24"/>
          <w:szCs w:val="24"/>
        </w:rPr>
        <w:t>diratifikasi</w:t>
      </w:r>
      <w:proofErr w:type="spellEnd"/>
      <w:r w:rsidR="00990B78">
        <w:rPr>
          <w:rFonts w:ascii="Times New Roman" w:hAnsi="Times New Roman" w:cs="Times New Roman"/>
          <w:sz w:val="24"/>
          <w:szCs w:val="24"/>
        </w:rPr>
        <w:t xml:space="preserve"> oleh Indonesia.</w:t>
      </w:r>
      <w:r w:rsidR="0054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E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4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EE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54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E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4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4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4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E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4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EE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="00541DEE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="00541DEE">
        <w:rPr>
          <w:rFonts w:ascii="Times New Roman" w:hAnsi="Times New Roman" w:cs="Times New Roman"/>
          <w:sz w:val="24"/>
          <w:szCs w:val="24"/>
        </w:rPr>
        <w:t>se</w:t>
      </w:r>
      <w:r w:rsidR="009628F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6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8F0">
        <w:rPr>
          <w:rFonts w:ascii="Times New Roman" w:hAnsi="Times New Roman" w:cs="Times New Roman"/>
          <w:sz w:val="24"/>
          <w:szCs w:val="24"/>
        </w:rPr>
        <w:t>sistemik</w:t>
      </w:r>
      <w:proofErr w:type="spellEnd"/>
      <w:r w:rsidR="009628F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628F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6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8F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628F0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="009628F0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="0096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8F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628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74791" w14:textId="1595C37B" w:rsidR="00384926" w:rsidRDefault="00384926" w:rsidP="009523D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</w:p>
    <w:p w14:paraId="2D78FA49" w14:textId="1B6C0D1F" w:rsidR="00384926" w:rsidRDefault="00384926" w:rsidP="009523D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</w:t>
      </w:r>
    </w:p>
    <w:p w14:paraId="1B4031BC" w14:textId="28434071" w:rsidR="00384926" w:rsidRDefault="00384926" w:rsidP="009523D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yang independent</w:t>
      </w:r>
    </w:p>
    <w:p w14:paraId="015E8F22" w14:textId="00C2BF44" w:rsidR="00384926" w:rsidRDefault="00384926" w:rsidP="009523D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Yudisial</w:t>
      </w:r>
      <w:proofErr w:type="spellEnd"/>
    </w:p>
    <w:p w14:paraId="4A3039B1" w14:textId="1D1D4471" w:rsidR="00384926" w:rsidRDefault="00384926" w:rsidP="009523D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r w:rsidRPr="009854EB">
        <w:rPr>
          <w:rFonts w:ascii="Times New Roman" w:hAnsi="Times New Roman" w:cs="Times New Roman"/>
          <w:i/>
          <w:iCs/>
          <w:sz w:val="24"/>
          <w:szCs w:val="24"/>
        </w:rPr>
        <w:t>judicial review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14:paraId="06D76E5C" w14:textId="13B6E84C" w:rsidR="00674750" w:rsidRDefault="00674750" w:rsidP="009523D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memelopori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750">
        <w:rPr>
          <w:rFonts w:ascii="Times New Roman" w:hAnsi="Times New Roman" w:cs="Times New Roman"/>
          <w:i/>
          <w:iCs/>
          <w:sz w:val="24"/>
          <w:szCs w:val="24"/>
        </w:rPr>
        <w:t>Bali Democracy Forum</w:t>
      </w:r>
      <w:r>
        <w:rPr>
          <w:rFonts w:ascii="Times New Roman" w:hAnsi="Times New Roman" w:cs="Times New Roman"/>
          <w:sz w:val="24"/>
          <w:szCs w:val="24"/>
        </w:rPr>
        <w:t xml:space="preserve"> (BDF)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</w:p>
    <w:p w14:paraId="491DBA08" w14:textId="0746D02C" w:rsidR="00990B78" w:rsidRDefault="00990B78" w:rsidP="00B02CA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Joko Widodo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para korban dan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Munir,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955">
        <w:rPr>
          <w:rFonts w:ascii="Times New Roman" w:hAnsi="Times New Roman" w:cs="Times New Roman"/>
          <w:sz w:val="24"/>
          <w:szCs w:val="24"/>
        </w:rPr>
        <w:t>Trisakti</w:t>
      </w:r>
      <w:proofErr w:type="spellEnd"/>
      <w:r w:rsidR="00D86955">
        <w:rPr>
          <w:rFonts w:ascii="Times New Roman" w:hAnsi="Times New Roman" w:cs="Times New Roman"/>
          <w:sz w:val="24"/>
          <w:szCs w:val="24"/>
        </w:rPr>
        <w:t xml:space="preserve">, </w:t>
      </w:r>
      <w:r w:rsidR="0038492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38492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84926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="00384926">
        <w:rPr>
          <w:rFonts w:ascii="Times New Roman" w:hAnsi="Times New Roman" w:cs="Times New Roman"/>
          <w:sz w:val="24"/>
          <w:szCs w:val="24"/>
        </w:rPr>
        <w:t>Baswedan</w:t>
      </w:r>
      <w:proofErr w:type="spellEnd"/>
      <w:r w:rsidR="003849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8492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8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9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8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926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38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92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84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926">
        <w:rPr>
          <w:rFonts w:ascii="Times New Roman" w:hAnsi="Times New Roman" w:cs="Times New Roman"/>
          <w:sz w:val="24"/>
          <w:szCs w:val="24"/>
        </w:rPr>
        <w:t>Konggres</w:t>
      </w:r>
      <w:proofErr w:type="spellEnd"/>
      <w:r w:rsidR="00384926">
        <w:rPr>
          <w:rFonts w:ascii="Times New Roman" w:hAnsi="Times New Roman" w:cs="Times New Roman"/>
          <w:sz w:val="24"/>
          <w:szCs w:val="24"/>
        </w:rPr>
        <w:t xml:space="preserve"> AS oleh Amnesty Interna</w:t>
      </w:r>
      <w:r w:rsidR="00541DEE">
        <w:rPr>
          <w:rFonts w:ascii="Times New Roman" w:hAnsi="Times New Roman" w:cs="Times New Roman"/>
          <w:sz w:val="24"/>
          <w:szCs w:val="24"/>
        </w:rPr>
        <w:t>t</w:t>
      </w:r>
      <w:r w:rsidR="00384926">
        <w:rPr>
          <w:rFonts w:ascii="Times New Roman" w:hAnsi="Times New Roman" w:cs="Times New Roman"/>
          <w:sz w:val="24"/>
          <w:szCs w:val="24"/>
        </w:rPr>
        <w:t xml:space="preserve">ional).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anarkhis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750">
        <w:rPr>
          <w:rFonts w:ascii="Times New Roman" w:hAnsi="Times New Roman" w:cs="Times New Roman"/>
          <w:sz w:val="24"/>
          <w:szCs w:val="24"/>
        </w:rPr>
        <w:t>minoritas</w:t>
      </w:r>
      <w:proofErr w:type="spellEnd"/>
      <w:r w:rsidR="00674750">
        <w:rPr>
          <w:rFonts w:ascii="Times New Roman" w:hAnsi="Times New Roman" w:cs="Times New Roman"/>
          <w:sz w:val="24"/>
          <w:szCs w:val="24"/>
        </w:rPr>
        <w:t>.</w:t>
      </w:r>
    </w:p>
    <w:p w14:paraId="1829F80A" w14:textId="16C4E788" w:rsidR="00674750" w:rsidRPr="00541DEE" w:rsidRDefault="00541DEE" w:rsidP="00541D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1DEE">
        <w:rPr>
          <w:rFonts w:ascii="Times New Roman" w:hAnsi="Times New Roman" w:cs="Times New Roman"/>
          <w:b/>
          <w:bCs/>
          <w:sz w:val="24"/>
          <w:szCs w:val="24"/>
        </w:rPr>
        <w:t>Persoalan</w:t>
      </w:r>
      <w:proofErr w:type="spellEnd"/>
      <w:r w:rsidRPr="00541DEE">
        <w:rPr>
          <w:rFonts w:ascii="Times New Roman" w:hAnsi="Times New Roman" w:cs="Times New Roman"/>
          <w:b/>
          <w:bCs/>
          <w:sz w:val="24"/>
          <w:szCs w:val="24"/>
        </w:rPr>
        <w:t xml:space="preserve"> HAM di Asia Tenggara, AICHR dan Indonesia</w:t>
      </w:r>
    </w:p>
    <w:p w14:paraId="1AF31816" w14:textId="1D993C0E" w:rsidR="00541DEE" w:rsidRDefault="0041522E" w:rsidP="00541D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di Asia Tenggara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A1A886" w14:textId="6399B91C" w:rsidR="0041522E" w:rsidRDefault="0041522E" w:rsidP="009523D8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Rohingya di Myanmar</w:t>
      </w:r>
    </w:p>
    <w:p w14:paraId="1B5F55EB" w14:textId="1548A41B" w:rsidR="0041522E" w:rsidRDefault="0041522E" w:rsidP="009523D8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Vietnam</w:t>
      </w:r>
    </w:p>
    <w:p w14:paraId="1ECC4FEA" w14:textId="6B3BA148" w:rsidR="0041522E" w:rsidRDefault="0041522E" w:rsidP="009523D8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22E">
        <w:rPr>
          <w:rFonts w:ascii="Times New Roman" w:hAnsi="Times New Roman" w:cs="Times New Roman"/>
          <w:i/>
          <w:iCs/>
          <w:sz w:val="24"/>
          <w:szCs w:val="24"/>
        </w:rPr>
        <w:t>Internal Security Act</w:t>
      </w:r>
      <w:r>
        <w:rPr>
          <w:rFonts w:ascii="Times New Roman" w:hAnsi="Times New Roman" w:cs="Times New Roman"/>
          <w:sz w:val="24"/>
          <w:szCs w:val="24"/>
        </w:rPr>
        <w:t xml:space="preserve"> (ISA) di Singapore dan Malaysia</w:t>
      </w:r>
    </w:p>
    <w:p w14:paraId="69A7396B" w14:textId="51262BA3" w:rsidR="0041522E" w:rsidRDefault="0041522E" w:rsidP="009523D8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679">
        <w:rPr>
          <w:rFonts w:ascii="Times New Roman" w:hAnsi="Times New Roman" w:cs="Times New Roman"/>
          <w:i/>
          <w:iCs/>
          <w:sz w:val="24"/>
          <w:szCs w:val="24"/>
        </w:rPr>
        <w:t>Extra-judicial killing of criminals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Philipina</w:t>
      </w:r>
      <w:proofErr w:type="spellEnd"/>
      <w:r w:rsidR="002216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2167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22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67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221679">
        <w:rPr>
          <w:rFonts w:ascii="Times New Roman" w:hAnsi="Times New Roman" w:cs="Times New Roman"/>
          <w:sz w:val="24"/>
          <w:szCs w:val="24"/>
        </w:rPr>
        <w:t xml:space="preserve"> Rodrigo Duterte</w:t>
      </w:r>
    </w:p>
    <w:p w14:paraId="058E6F74" w14:textId="4064E6F4" w:rsidR="0041522E" w:rsidRDefault="0041522E" w:rsidP="009523D8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</w:t>
      </w:r>
    </w:p>
    <w:p w14:paraId="79FCF734" w14:textId="2162A8AF" w:rsidR="00221679" w:rsidRDefault="0090524E" w:rsidP="0022167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4E">
        <w:rPr>
          <w:rFonts w:ascii="Times New Roman" w:hAnsi="Times New Roman" w:cs="Times New Roman"/>
          <w:b/>
          <w:bCs/>
          <w:sz w:val="24"/>
          <w:szCs w:val="24"/>
        </w:rPr>
        <w:t>NEGARA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4E">
        <w:rPr>
          <w:rFonts w:ascii="Times New Roman" w:hAnsi="Times New Roman" w:cs="Times New Roman"/>
          <w:i/>
          <w:iCs/>
          <w:sz w:val="24"/>
          <w:szCs w:val="24"/>
        </w:rPr>
        <w:t>ASEAN Charter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4E">
        <w:rPr>
          <w:rFonts w:ascii="Times New Roman" w:hAnsi="Times New Roman" w:cs="Times New Roman"/>
          <w:i/>
          <w:iCs/>
          <w:sz w:val="24"/>
          <w:szCs w:val="24"/>
        </w:rPr>
        <w:t>non-interference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E004A" w14:textId="793865BB" w:rsidR="0090524E" w:rsidRDefault="0090524E" w:rsidP="0022167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Ironinya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24E">
        <w:rPr>
          <w:rFonts w:ascii="Times New Roman" w:hAnsi="Times New Roman" w:cs="Times New Roman"/>
          <w:i/>
          <w:iCs/>
          <w:sz w:val="24"/>
          <w:szCs w:val="24"/>
        </w:rPr>
        <w:t>by commission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r w:rsidRPr="0090524E">
        <w:rPr>
          <w:rFonts w:ascii="Times New Roman" w:hAnsi="Times New Roman" w:cs="Times New Roman"/>
          <w:i/>
          <w:iCs/>
          <w:sz w:val="24"/>
          <w:szCs w:val="24"/>
        </w:rPr>
        <w:t>by omission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HAM).</w:t>
      </w:r>
    </w:p>
    <w:p w14:paraId="03A3C048" w14:textId="6DA22FB2" w:rsidR="0090524E" w:rsidRDefault="00EF617E" w:rsidP="0022167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AICHR?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spellStart"/>
      <w:r>
        <w:rPr>
          <w:rFonts w:ascii="Times New Roman" w:hAnsi="Times New Roman" w:cs="Times New Roman"/>
          <w:sz w:val="24"/>
          <w:szCs w:val="24"/>
        </w:rPr>
        <w:t>ntar-pemerintah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ASEAN untuk </w:t>
      </w:r>
      <w:proofErr w:type="spellStart"/>
      <w:r w:rsidR="002E0AE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2E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AE2">
        <w:rPr>
          <w:rFonts w:ascii="Times New Roman" w:hAnsi="Times New Roman" w:cs="Times New Roman"/>
          <w:sz w:val="24"/>
          <w:szCs w:val="24"/>
        </w:rPr>
        <w:t>Azasi</w:t>
      </w:r>
      <w:proofErr w:type="spellEnd"/>
      <w:r w:rsidR="002E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AE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E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A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E0AE2">
        <w:rPr>
          <w:rFonts w:ascii="Times New Roman" w:hAnsi="Times New Roman" w:cs="Times New Roman"/>
          <w:sz w:val="24"/>
          <w:szCs w:val="24"/>
        </w:rPr>
        <w:t xml:space="preserve"> badan regional </w:t>
      </w:r>
      <w:proofErr w:type="spellStart"/>
      <w:r w:rsidR="002E0AE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2E0AE2">
        <w:rPr>
          <w:rFonts w:ascii="Times New Roman" w:hAnsi="Times New Roman" w:cs="Times New Roman"/>
          <w:sz w:val="24"/>
          <w:szCs w:val="24"/>
        </w:rPr>
        <w:t xml:space="preserve"> HAM di Asia Tenggara.</w:t>
      </w:r>
    </w:p>
    <w:p w14:paraId="322C4BBD" w14:textId="452EFEFF" w:rsidR="0090524E" w:rsidRDefault="009854EB" w:rsidP="0022167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AICHR:</w:t>
      </w:r>
    </w:p>
    <w:p w14:paraId="36F961F1" w14:textId="73EE2579" w:rsidR="009854EB" w:rsidRDefault="009854EB" w:rsidP="009523D8">
      <w:pPr>
        <w:pStyle w:val="ListParagraph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Independensi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116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="0081160D">
        <w:rPr>
          <w:rFonts w:ascii="Times New Roman" w:hAnsi="Times New Roman" w:cs="Times New Roman"/>
          <w:sz w:val="24"/>
          <w:szCs w:val="24"/>
        </w:rPr>
        <w:t>konsultatif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0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0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0D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81160D">
        <w:rPr>
          <w:rFonts w:ascii="Times New Roman" w:hAnsi="Times New Roman" w:cs="Times New Roman"/>
          <w:sz w:val="24"/>
          <w:szCs w:val="24"/>
        </w:rPr>
        <w:t>menindaklanjuti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0D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60D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="0081160D">
        <w:rPr>
          <w:rFonts w:ascii="Times New Roman" w:hAnsi="Times New Roman" w:cs="Times New Roman"/>
          <w:sz w:val="24"/>
          <w:szCs w:val="24"/>
        </w:rPr>
        <w:t xml:space="preserve"> HAM.</w:t>
      </w:r>
    </w:p>
    <w:p w14:paraId="60447F56" w14:textId="3E091A02" w:rsidR="009854EB" w:rsidRDefault="009854EB" w:rsidP="009523D8">
      <w:pPr>
        <w:pStyle w:val="ListParagraph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“</w:t>
      </w:r>
      <w:r w:rsidRPr="00AB419A">
        <w:rPr>
          <w:rFonts w:ascii="Times New Roman" w:hAnsi="Times New Roman" w:cs="Times New Roman"/>
          <w:i/>
          <w:iCs/>
          <w:sz w:val="24"/>
          <w:szCs w:val="24"/>
        </w:rPr>
        <w:t>representatives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B419A">
        <w:rPr>
          <w:rFonts w:ascii="Times New Roman" w:hAnsi="Times New Roman" w:cs="Times New Roman"/>
          <w:i/>
          <w:iCs/>
          <w:sz w:val="24"/>
          <w:szCs w:val="24"/>
        </w:rPr>
        <w:t>commissioner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37A4B3" w14:textId="6DA40FAA" w:rsidR="009854EB" w:rsidRDefault="009854EB" w:rsidP="009523D8">
      <w:pPr>
        <w:pStyle w:val="ListParagraph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4EB">
        <w:rPr>
          <w:rFonts w:ascii="Times New Roman" w:hAnsi="Times New Roman" w:cs="Times New Roman"/>
          <w:i/>
          <w:iCs/>
          <w:sz w:val="24"/>
          <w:szCs w:val="24"/>
        </w:rPr>
        <w:t>Ownership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AICHR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“</w:t>
      </w:r>
      <w:r w:rsidRPr="009854EB">
        <w:rPr>
          <w:rFonts w:ascii="Times New Roman" w:hAnsi="Times New Roman" w:cs="Times New Roman"/>
          <w:i/>
          <w:iCs/>
          <w:sz w:val="24"/>
          <w:szCs w:val="24"/>
        </w:rPr>
        <w:t>intergovernmental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49F9CE77" w14:textId="70B58427" w:rsidR="009854EB" w:rsidRDefault="009854EB" w:rsidP="009523D8">
      <w:pPr>
        <w:pStyle w:val="ListParagraph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Masih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9BC194" w14:textId="0CC9D9E0" w:rsidR="009854EB" w:rsidRDefault="000C75C4" w:rsidP="009854E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(</w:t>
      </w:r>
      <w:r w:rsidRPr="008F48E1">
        <w:rPr>
          <w:rFonts w:ascii="Times New Roman" w:hAnsi="Times New Roman" w:cs="Times New Roman"/>
          <w:i/>
          <w:iCs/>
          <w:sz w:val="24"/>
          <w:szCs w:val="24"/>
        </w:rPr>
        <w:t>region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36B81954" w14:textId="012F3A15" w:rsidR="000C75C4" w:rsidRDefault="008F48E1" w:rsidP="009523D8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oleh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C8">
        <w:rPr>
          <w:rFonts w:ascii="Times New Roman" w:hAnsi="Times New Roman" w:cs="Times New Roman"/>
          <w:i/>
          <w:iCs/>
          <w:sz w:val="24"/>
          <w:szCs w:val="24"/>
        </w:rPr>
        <w:t>civil society</w:t>
      </w:r>
    </w:p>
    <w:p w14:paraId="0BD3E2B7" w14:textId="5AFA5DC4" w:rsidR="008F48E1" w:rsidRDefault="008F48E1" w:rsidP="009523D8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oleh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C8">
        <w:rPr>
          <w:rFonts w:ascii="Times New Roman" w:hAnsi="Times New Roman" w:cs="Times New Roman"/>
          <w:i/>
          <w:iCs/>
          <w:sz w:val="24"/>
          <w:szCs w:val="24"/>
        </w:rPr>
        <w:t>civil society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2241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241C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24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C8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2241C8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="002241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24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1C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2241C8">
        <w:rPr>
          <w:rFonts w:ascii="Times New Roman" w:hAnsi="Times New Roman" w:cs="Times New Roman"/>
          <w:sz w:val="24"/>
          <w:szCs w:val="24"/>
        </w:rPr>
        <w:t xml:space="preserve"> HAM yang </w:t>
      </w:r>
      <w:proofErr w:type="spellStart"/>
      <w:r w:rsidR="002241C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2241C8">
        <w:rPr>
          <w:rFonts w:ascii="Times New Roman" w:hAnsi="Times New Roman" w:cs="Times New Roman"/>
          <w:sz w:val="24"/>
          <w:szCs w:val="24"/>
        </w:rPr>
        <w:t>.</w:t>
      </w:r>
    </w:p>
    <w:p w14:paraId="7E7CC3E3" w14:textId="7E17EFFF" w:rsidR="008F48E1" w:rsidRDefault="008F48E1" w:rsidP="009523D8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independent HAM dan </w:t>
      </w:r>
      <w:r w:rsidRPr="002241C8">
        <w:rPr>
          <w:rFonts w:ascii="Times New Roman" w:hAnsi="Times New Roman" w:cs="Times New Roman"/>
          <w:i/>
          <w:iCs/>
          <w:sz w:val="24"/>
          <w:szCs w:val="24"/>
        </w:rPr>
        <w:t>civil society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 regional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(</w:t>
      </w:r>
      <w:r w:rsidR="002241C8" w:rsidRPr="002241C8">
        <w:rPr>
          <w:rFonts w:ascii="Times New Roman" w:hAnsi="Times New Roman" w:cs="Times New Roman"/>
          <w:i/>
          <w:iCs/>
          <w:sz w:val="24"/>
          <w:szCs w:val="24"/>
        </w:rPr>
        <w:t xml:space="preserve">European Court of </w:t>
      </w:r>
      <w:r w:rsidRPr="002241C8">
        <w:rPr>
          <w:rFonts w:ascii="Times New Roman" w:hAnsi="Times New Roman" w:cs="Times New Roman"/>
          <w:i/>
          <w:iCs/>
          <w:sz w:val="24"/>
          <w:szCs w:val="24"/>
        </w:rPr>
        <w:t>Human Rights</w:t>
      </w:r>
      <w:r w:rsidR="002241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5F105B" w14:textId="67CB9B78" w:rsidR="00960CE2" w:rsidRDefault="006C55C8" w:rsidP="00960CE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(2004): </w:t>
      </w:r>
      <w:r w:rsidRPr="006C55C8">
        <w:rPr>
          <w:rFonts w:ascii="Times New Roman" w:hAnsi="Times New Roman" w:cs="Times New Roman"/>
          <w:i/>
          <w:iCs/>
          <w:sz w:val="24"/>
          <w:szCs w:val="24"/>
        </w:rPr>
        <w:t xml:space="preserve">Activism, whether transnational or national, requires </w:t>
      </w:r>
      <w:r w:rsidRPr="00FB1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engagements with states</w:t>
      </w:r>
      <w:r w:rsidRPr="006C55C8">
        <w:rPr>
          <w:rFonts w:ascii="Times New Roman" w:hAnsi="Times New Roman" w:cs="Times New Roman"/>
          <w:i/>
          <w:iCs/>
          <w:sz w:val="24"/>
          <w:szCs w:val="24"/>
        </w:rPr>
        <w:t xml:space="preserve"> to bring about change, especially when the activism aims to promote eminently political tasks such as deepening democracy and furthering human rights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E49466" w14:textId="77777777" w:rsidR="00777264" w:rsidRPr="00701AD0" w:rsidRDefault="00777264" w:rsidP="00701A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1AD0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701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1AD0">
        <w:rPr>
          <w:rFonts w:ascii="Times New Roman" w:hAnsi="Times New Roman" w:cs="Times New Roman"/>
          <w:b/>
          <w:bCs/>
          <w:sz w:val="24"/>
          <w:szCs w:val="24"/>
        </w:rPr>
        <w:t>itu</w:t>
      </w:r>
      <w:proofErr w:type="spellEnd"/>
      <w:r w:rsidRPr="00701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Bali Democracy Forum</w:t>
      </w:r>
      <w:r w:rsidRPr="00701AD0">
        <w:rPr>
          <w:rFonts w:ascii="Times New Roman" w:hAnsi="Times New Roman" w:cs="Times New Roman"/>
          <w:b/>
          <w:bCs/>
          <w:sz w:val="24"/>
          <w:szCs w:val="24"/>
        </w:rPr>
        <w:t xml:space="preserve"> (BDF)? </w:t>
      </w:r>
    </w:p>
    <w:p w14:paraId="09183179" w14:textId="489850A5" w:rsidR="009A6094" w:rsidRDefault="00777264" w:rsidP="00701AD0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diprakarsai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SBY (2008)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47">
        <w:rPr>
          <w:rFonts w:ascii="Times New Roman" w:hAnsi="Times New Roman" w:cs="Times New Roman"/>
          <w:sz w:val="24"/>
          <w:szCs w:val="24"/>
        </w:rPr>
        <w:t>(</w:t>
      </w:r>
      <w:r w:rsidR="00231847" w:rsidRPr="00231847">
        <w:rPr>
          <w:rFonts w:ascii="Times New Roman" w:hAnsi="Times New Roman" w:cs="Times New Roman"/>
          <w:i/>
          <w:iCs/>
          <w:sz w:val="24"/>
          <w:szCs w:val="24"/>
        </w:rPr>
        <w:t>image</w:t>
      </w:r>
      <w:r w:rsidR="002318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E26ED" w14:textId="0DCDCC1D" w:rsidR="00777264" w:rsidRDefault="00231847" w:rsidP="00701AD0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BDF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47">
        <w:rPr>
          <w:rFonts w:ascii="Times New Roman" w:hAnsi="Times New Roman" w:cs="Times New Roman"/>
          <w:i/>
          <w:iCs/>
          <w:sz w:val="24"/>
          <w:szCs w:val="24"/>
        </w:rPr>
        <w:t>soft power</w:t>
      </w:r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1C2038" w14:textId="10A4C50E" w:rsidR="00231847" w:rsidRDefault="00733EF5" w:rsidP="00701AD0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BDF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negara-negara Barat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HAM. </w:t>
      </w:r>
    </w:p>
    <w:p w14:paraId="01091DBA" w14:textId="77777777" w:rsidR="00701AD0" w:rsidRDefault="00733EF5" w:rsidP="00701AD0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BDF,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Myanmar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supremasi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4713988E" w14:textId="455C4D2A" w:rsidR="009523D8" w:rsidRPr="00701AD0" w:rsidRDefault="009523D8" w:rsidP="00701AD0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AD0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701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A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01AD0">
        <w:rPr>
          <w:rFonts w:ascii="Times New Roman" w:hAnsi="Times New Roman" w:cs="Times New Roman"/>
          <w:sz w:val="24"/>
          <w:szCs w:val="24"/>
        </w:rPr>
        <w:t xml:space="preserve"> BDF:</w:t>
      </w:r>
    </w:p>
    <w:p w14:paraId="011B2E24" w14:textId="3CCA28C1" w:rsidR="009523D8" w:rsidRDefault="00BB17FC" w:rsidP="009523D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pembenahan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</w:t>
      </w:r>
      <w:r w:rsidR="009523D8" w:rsidRPr="009523D8">
        <w:rPr>
          <w:rFonts w:ascii="Times New Roman" w:hAnsi="Times New Roman" w:cs="Times New Roman"/>
          <w:i/>
          <w:iCs/>
          <w:sz w:val="24"/>
          <w:szCs w:val="24"/>
        </w:rPr>
        <w:t>clean government</w:t>
      </w:r>
      <w:r w:rsidR="009523D8">
        <w:rPr>
          <w:rFonts w:ascii="Times New Roman" w:hAnsi="Times New Roman" w:cs="Times New Roman"/>
          <w:sz w:val="24"/>
          <w:szCs w:val="24"/>
        </w:rPr>
        <w:t xml:space="preserve"> dan </w:t>
      </w:r>
      <w:r w:rsidR="009523D8" w:rsidRPr="009523D8">
        <w:rPr>
          <w:rFonts w:ascii="Times New Roman" w:hAnsi="Times New Roman" w:cs="Times New Roman"/>
          <w:i/>
          <w:iCs/>
          <w:sz w:val="24"/>
          <w:szCs w:val="24"/>
        </w:rPr>
        <w:t>good governance</w:t>
      </w:r>
      <w:r w:rsidR="009523D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kredibel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="009523D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9523D8">
        <w:rPr>
          <w:rFonts w:ascii="Times New Roman" w:hAnsi="Times New Roman" w:cs="Times New Roman"/>
          <w:sz w:val="24"/>
          <w:szCs w:val="24"/>
        </w:rPr>
        <w:t>.</w:t>
      </w:r>
    </w:p>
    <w:p w14:paraId="328A4184" w14:textId="6EE3A2D5" w:rsidR="00BB17FC" w:rsidRDefault="00BB17FC" w:rsidP="009523D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BDF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negara-negara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HAM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menjustifikasi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EAAD61" w14:textId="57F1308C" w:rsidR="00BB17FC" w:rsidRDefault="00A42AAE" w:rsidP="009523D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04D9D" w14:textId="50FB28E3" w:rsidR="00701AD0" w:rsidRDefault="00701AD0" w:rsidP="009523D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5C76F0" w14:textId="7A87EF2A" w:rsidR="00FB2C15" w:rsidRDefault="00FB2C15" w:rsidP="00FB2C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C15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0C2CBBB" w14:textId="77777777" w:rsidR="00FB2C15" w:rsidRPr="00FB2C15" w:rsidRDefault="00FB2C15" w:rsidP="00FB2C1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15">
        <w:rPr>
          <w:rFonts w:ascii="Times New Roman" w:hAnsi="Times New Roman" w:cs="Times New Roman"/>
          <w:sz w:val="24"/>
          <w:szCs w:val="24"/>
          <w:lang w:val="id-ID"/>
        </w:rPr>
        <w:t xml:space="preserve">Corciari, John D. (2010). “Institutionalizing Human Rights in Southeast Asia”. Paper for the International Conference on </w:t>
      </w:r>
      <w:r w:rsidRPr="00FB2C15">
        <w:rPr>
          <w:rFonts w:ascii="Times New Roman" w:hAnsi="Times New Roman" w:cs="Times New Roman"/>
          <w:i/>
          <w:iCs/>
          <w:sz w:val="24"/>
          <w:szCs w:val="24"/>
          <w:lang w:val="id-ID"/>
        </w:rPr>
        <w:t>Issues &amp; Trends in Southeast Asia</w:t>
      </w:r>
      <w:r w:rsidRPr="00FB2C15">
        <w:rPr>
          <w:rFonts w:ascii="Times New Roman" w:hAnsi="Times New Roman" w:cs="Times New Roman"/>
          <w:sz w:val="24"/>
          <w:szCs w:val="24"/>
          <w:lang w:val="id-ID"/>
        </w:rPr>
        <w:t>, Center for Southeast Asian Studies, University of Michigan – October 22, 2010.</w:t>
      </w:r>
    </w:p>
    <w:p w14:paraId="0C0E970F" w14:textId="77777777" w:rsidR="00FB2C15" w:rsidRPr="00FB2C15" w:rsidRDefault="00FB2C15" w:rsidP="00FB2C1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15">
        <w:rPr>
          <w:rFonts w:ascii="Times New Roman" w:hAnsi="Times New Roman" w:cs="Times New Roman"/>
          <w:sz w:val="24"/>
          <w:szCs w:val="24"/>
          <w:lang w:val="id-ID"/>
        </w:rPr>
        <w:t xml:space="preserve">Grugel, Jean (2004). “State Power and Transnational Activism” in Nicola Piper and Anders Uhlin (eds.). </w:t>
      </w:r>
      <w:r w:rsidRPr="00FB2C15">
        <w:rPr>
          <w:rFonts w:ascii="Times New Roman" w:hAnsi="Times New Roman" w:cs="Times New Roman"/>
          <w:i/>
          <w:iCs/>
          <w:sz w:val="24"/>
          <w:szCs w:val="24"/>
          <w:lang w:val="id-ID"/>
        </w:rPr>
        <w:t>Transnational Ativism in Asia</w:t>
      </w:r>
      <w:r w:rsidRPr="00FB2C15">
        <w:rPr>
          <w:rFonts w:ascii="Times New Roman" w:hAnsi="Times New Roman" w:cs="Times New Roman"/>
          <w:sz w:val="24"/>
          <w:szCs w:val="24"/>
          <w:lang w:val="id-ID"/>
        </w:rPr>
        <w:t>. London: Routledge.</w:t>
      </w:r>
    </w:p>
    <w:p w14:paraId="26C5DC63" w14:textId="77777777" w:rsidR="00FB2C15" w:rsidRPr="00FB2C15" w:rsidRDefault="00FB2C15" w:rsidP="00FB2C1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15">
        <w:rPr>
          <w:rFonts w:ascii="Times New Roman" w:hAnsi="Times New Roman" w:cs="Times New Roman"/>
          <w:sz w:val="24"/>
          <w:szCs w:val="24"/>
        </w:rPr>
        <w:t>Human Rights Watch report (</w:t>
      </w:r>
      <w:hyperlink r:id="rId5" w:history="1">
        <w:r w:rsidRPr="00FB2C15">
          <w:rPr>
            <w:rStyle w:val="Hyperlink"/>
            <w:rFonts w:ascii="Times New Roman" w:hAnsi="Times New Roman" w:cs="Times New Roman"/>
            <w:sz w:val="24"/>
            <w:szCs w:val="24"/>
          </w:rPr>
          <w:t>https://www.voanews.com/a/human-rights-watch-southeast-asia/3674978.html</w:t>
        </w:r>
      </w:hyperlink>
      <w:r w:rsidRPr="00FB2C15">
        <w:rPr>
          <w:rFonts w:ascii="Times New Roman" w:hAnsi="Times New Roman" w:cs="Times New Roman"/>
          <w:sz w:val="24"/>
          <w:szCs w:val="24"/>
        </w:rPr>
        <w:t xml:space="preserve"> titled “Deteriorating Outlook for Human Rights in SE Asia”)</w:t>
      </w:r>
    </w:p>
    <w:p w14:paraId="0FA495D0" w14:textId="77777777" w:rsidR="00FB2C15" w:rsidRPr="00FB2C15" w:rsidRDefault="00FB2C15" w:rsidP="00FB2C1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C15">
        <w:rPr>
          <w:rFonts w:ascii="Times New Roman" w:hAnsi="Times New Roman" w:cs="Times New Roman"/>
          <w:sz w:val="24"/>
          <w:szCs w:val="24"/>
          <w:lang w:val="id-ID"/>
        </w:rPr>
        <w:t xml:space="preserve">Jemadu, Aleksius (2004). “Transnational Activism and the Pursuit of Democratization in Indonesia: National, Regional and Global Networks” in Nicola Piper and Anders Uhlin (eds.). </w:t>
      </w:r>
      <w:r w:rsidRPr="00FB2C15">
        <w:rPr>
          <w:rFonts w:ascii="Times New Roman" w:hAnsi="Times New Roman" w:cs="Times New Roman"/>
          <w:i/>
          <w:iCs/>
          <w:sz w:val="24"/>
          <w:szCs w:val="24"/>
          <w:lang w:val="id-ID"/>
        </w:rPr>
        <w:t>Transnational Ativism in Asia</w:t>
      </w:r>
      <w:r w:rsidRPr="00FB2C15">
        <w:rPr>
          <w:rFonts w:ascii="Times New Roman" w:hAnsi="Times New Roman" w:cs="Times New Roman"/>
          <w:sz w:val="24"/>
          <w:szCs w:val="24"/>
          <w:lang w:val="id-ID"/>
        </w:rPr>
        <w:t>. London: Routledge.</w:t>
      </w:r>
    </w:p>
    <w:p w14:paraId="4BEF0B81" w14:textId="77777777" w:rsidR="00FB2C15" w:rsidRPr="00FB2C15" w:rsidRDefault="00FB2C15" w:rsidP="00FB2C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6F0730" w14:textId="77777777" w:rsidR="009523D8" w:rsidRPr="00B02CA3" w:rsidRDefault="009523D8" w:rsidP="00701AD0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9523D8" w:rsidRPr="00B02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EA8"/>
    <w:multiLevelType w:val="hybridMultilevel"/>
    <w:tmpl w:val="4AAE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08EE"/>
    <w:multiLevelType w:val="hybridMultilevel"/>
    <w:tmpl w:val="7CBCA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292C"/>
    <w:multiLevelType w:val="hybridMultilevel"/>
    <w:tmpl w:val="274C0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55222"/>
    <w:multiLevelType w:val="hybridMultilevel"/>
    <w:tmpl w:val="7534B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95059"/>
    <w:multiLevelType w:val="hybridMultilevel"/>
    <w:tmpl w:val="3512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76730"/>
    <w:multiLevelType w:val="hybridMultilevel"/>
    <w:tmpl w:val="DCFC4F0A"/>
    <w:lvl w:ilvl="0" w:tplc="8F3EA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AF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2A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80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C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EB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68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F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6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3F5274"/>
    <w:multiLevelType w:val="hybridMultilevel"/>
    <w:tmpl w:val="0B84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B"/>
    <w:rsid w:val="000705CB"/>
    <w:rsid w:val="00091D68"/>
    <w:rsid w:val="000C75C4"/>
    <w:rsid w:val="00156F1E"/>
    <w:rsid w:val="00221679"/>
    <w:rsid w:val="002241C8"/>
    <w:rsid w:val="00231847"/>
    <w:rsid w:val="002D0583"/>
    <w:rsid w:val="002E0AE2"/>
    <w:rsid w:val="00384926"/>
    <w:rsid w:val="0041522E"/>
    <w:rsid w:val="00541DEE"/>
    <w:rsid w:val="00616A3C"/>
    <w:rsid w:val="00665624"/>
    <w:rsid w:val="00674750"/>
    <w:rsid w:val="006C55C8"/>
    <w:rsid w:val="00701AD0"/>
    <w:rsid w:val="00733EF5"/>
    <w:rsid w:val="00777264"/>
    <w:rsid w:val="007F4EF1"/>
    <w:rsid w:val="0081160D"/>
    <w:rsid w:val="008B0739"/>
    <w:rsid w:val="008F48E1"/>
    <w:rsid w:val="0090524E"/>
    <w:rsid w:val="009206C9"/>
    <w:rsid w:val="009523D8"/>
    <w:rsid w:val="00960CE2"/>
    <w:rsid w:val="009628F0"/>
    <w:rsid w:val="009854EB"/>
    <w:rsid w:val="00990B78"/>
    <w:rsid w:val="009A6094"/>
    <w:rsid w:val="00A42AAE"/>
    <w:rsid w:val="00A916D1"/>
    <w:rsid w:val="00AB419A"/>
    <w:rsid w:val="00B02CA3"/>
    <w:rsid w:val="00BB17FC"/>
    <w:rsid w:val="00C32478"/>
    <w:rsid w:val="00D86955"/>
    <w:rsid w:val="00E7787F"/>
    <w:rsid w:val="00EF617E"/>
    <w:rsid w:val="00FB1290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1255"/>
  <w15:chartTrackingRefBased/>
  <w15:docId w15:val="{A2686D56-D78D-4845-B834-FFA8C4B6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anews.com/a/human-rights-watch-southeast-asia/3674978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c901e-7380-4384-9d8c-e746179efd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5A9DA5-5640-4231-AA4F-E1A572E247C1}"/>
</file>

<file path=customXml/itemProps2.xml><?xml version="1.0" encoding="utf-8"?>
<ds:datastoreItem xmlns:ds="http://schemas.openxmlformats.org/officeDocument/2006/customXml" ds:itemID="{88F4D0E2-0884-450D-80FD-CACDAE4A30E4}"/>
</file>

<file path=customXml/itemProps3.xml><?xml version="1.0" encoding="utf-8"?>
<ds:datastoreItem xmlns:ds="http://schemas.openxmlformats.org/officeDocument/2006/customXml" ds:itemID="{58E0B10F-2F46-4154-AC28-D6DDDE860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30</cp:revision>
  <dcterms:created xsi:type="dcterms:W3CDTF">2019-07-28T03:43:00Z</dcterms:created>
  <dcterms:modified xsi:type="dcterms:W3CDTF">2019-07-28T10:27:00Z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  <property fmtid="{D5CDD505-2E9C-101B-9397-08002B2CF9AE}" pid="3" name="Order">
    <vt:r8>346800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