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1762" w14:textId="5415F604" w:rsidR="00C53AB5" w:rsidRPr="00D62CD0" w:rsidRDefault="00C53AB5" w:rsidP="00C53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AB5">
        <w:rPr>
          <w:rFonts w:ascii="Times New Roman" w:hAnsi="Times New Roman" w:cs="Times New Roman"/>
          <w:b/>
          <w:bCs/>
          <w:sz w:val="24"/>
          <w:szCs w:val="24"/>
        </w:rPr>
        <w:t xml:space="preserve">KLN RI, </w:t>
      </w:r>
      <w:proofErr w:type="spellStart"/>
      <w:r w:rsidRPr="00C53AB5">
        <w:rPr>
          <w:rFonts w:ascii="Times New Roman" w:hAnsi="Times New Roman" w:cs="Times New Roman"/>
          <w:b/>
          <w:bCs/>
          <w:sz w:val="24"/>
          <w:szCs w:val="24"/>
        </w:rPr>
        <w:t>Isu</w:t>
      </w:r>
      <w:proofErr w:type="spellEnd"/>
      <w:r w:rsidRPr="00C53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AB5">
        <w:rPr>
          <w:rFonts w:ascii="Times New Roman" w:hAnsi="Times New Roman" w:cs="Times New Roman"/>
          <w:b/>
          <w:bCs/>
          <w:sz w:val="24"/>
          <w:szCs w:val="24"/>
        </w:rPr>
        <w:t>Terorisme</w:t>
      </w:r>
      <w:proofErr w:type="spellEnd"/>
      <w:r w:rsidRPr="00C53AB5">
        <w:rPr>
          <w:rFonts w:ascii="Times New Roman" w:hAnsi="Times New Roman" w:cs="Times New Roman"/>
          <w:b/>
          <w:bCs/>
          <w:sz w:val="24"/>
          <w:szCs w:val="24"/>
        </w:rPr>
        <w:t xml:space="preserve"> Global dan </w:t>
      </w:r>
      <w:r w:rsidRPr="00C53A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Soft Power Diplomacy</w:t>
      </w:r>
      <w:r w:rsidRPr="00C53AB5">
        <w:rPr>
          <w:rFonts w:ascii="Times New Roman" w:hAnsi="Times New Roman" w:cs="Times New Roman"/>
          <w:b/>
          <w:bCs/>
          <w:sz w:val="24"/>
          <w:szCs w:val="24"/>
        </w:rPr>
        <w:t xml:space="preserve"> RI</w:t>
      </w:r>
      <w:r w:rsidR="00645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45C4A">
        <w:rPr>
          <w:rFonts w:ascii="Times New Roman" w:hAnsi="Times New Roman" w:cs="Times New Roman"/>
          <w:b/>
          <w:bCs/>
          <w:sz w:val="24"/>
          <w:szCs w:val="24"/>
        </w:rPr>
        <w:t>Sesi</w:t>
      </w:r>
      <w:proofErr w:type="spellEnd"/>
      <w:r w:rsidR="00645C4A">
        <w:rPr>
          <w:rFonts w:ascii="Times New Roman" w:hAnsi="Times New Roman" w:cs="Times New Roman"/>
          <w:b/>
          <w:bCs/>
          <w:sz w:val="24"/>
          <w:szCs w:val="24"/>
        </w:rPr>
        <w:t xml:space="preserve"> 11:</w:t>
      </w:r>
    </w:p>
    <w:p w14:paraId="1D2D6820" w14:textId="38E4C34C" w:rsidR="00C53AB5" w:rsidRPr="00A867A7" w:rsidRDefault="00C53AB5" w:rsidP="0097451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E1205" w14:textId="7B1F6C03" w:rsidR="003D5098" w:rsidRDefault="003D5098" w:rsidP="003D50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098"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 w:rsidRPr="003D5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29DE">
        <w:rPr>
          <w:rFonts w:ascii="Times New Roman" w:hAnsi="Times New Roman" w:cs="Times New Roman"/>
          <w:b/>
          <w:bCs/>
          <w:sz w:val="24"/>
          <w:szCs w:val="24"/>
        </w:rPr>
        <w:t>Terorisme</w:t>
      </w:r>
      <w:proofErr w:type="spellEnd"/>
      <w:r w:rsidR="00782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5098">
        <w:rPr>
          <w:rFonts w:ascii="Times New Roman" w:hAnsi="Times New Roman" w:cs="Times New Roman"/>
          <w:b/>
          <w:bCs/>
          <w:sz w:val="24"/>
          <w:szCs w:val="24"/>
        </w:rPr>
        <w:t xml:space="preserve">dan </w:t>
      </w:r>
      <w:proofErr w:type="spellStart"/>
      <w:r w:rsidRPr="003D5098">
        <w:rPr>
          <w:rFonts w:ascii="Times New Roman" w:hAnsi="Times New Roman" w:cs="Times New Roman"/>
          <w:b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46CCA73" w14:textId="77777777" w:rsidR="003D5098" w:rsidRDefault="003D5098" w:rsidP="003D5098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715D4" w14:textId="72662A2C" w:rsidR="00E60C77" w:rsidRPr="003D5098" w:rsidRDefault="00E60C77" w:rsidP="003D50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098"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, regional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menyikapinya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melalu</w:t>
      </w:r>
      <w:r w:rsidR="005F2068" w:rsidRPr="003D50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098">
        <w:rPr>
          <w:rFonts w:ascii="Times New Roman" w:hAnsi="Times New Roman" w:cs="Times New Roman"/>
          <w:sz w:val="24"/>
          <w:szCs w:val="24"/>
        </w:rPr>
        <w:t>negerinya</w:t>
      </w:r>
      <w:proofErr w:type="spellEnd"/>
      <w:r w:rsidRPr="003D5098">
        <w:rPr>
          <w:rFonts w:ascii="Times New Roman" w:hAnsi="Times New Roman" w:cs="Times New Roman"/>
          <w:sz w:val="24"/>
          <w:szCs w:val="24"/>
        </w:rPr>
        <w:t>.</w:t>
      </w:r>
    </w:p>
    <w:p w14:paraId="7388AC7B" w14:textId="62D63962" w:rsidR="00B30FF9" w:rsidRDefault="00B30FF9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(AS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0605A7">
        <w:rPr>
          <w:rFonts w:ascii="Times New Roman" w:hAnsi="Times New Roman" w:cs="Times New Roman"/>
          <w:sz w:val="24"/>
          <w:szCs w:val="24"/>
        </w:rPr>
        <w:t xml:space="preserve"> </w:t>
      </w:r>
      <w:r w:rsidR="000605A7" w:rsidRPr="000605A7">
        <w:rPr>
          <w:rFonts w:ascii="Times New Roman" w:hAnsi="Times New Roman" w:cs="Times New Roman"/>
          <w:i/>
          <w:iCs/>
          <w:sz w:val="24"/>
          <w:szCs w:val="24"/>
        </w:rPr>
        <w:t>Terrorism is a violent resistance based on certain political or religious ideologies against political authority by spreading fear and panic through the killings of hard and soft targets</w:t>
      </w:r>
      <w:r w:rsidR="00225748">
        <w:rPr>
          <w:rFonts w:ascii="Times New Roman" w:hAnsi="Times New Roman" w:cs="Times New Roman"/>
          <w:i/>
          <w:iCs/>
          <w:sz w:val="24"/>
          <w:szCs w:val="24"/>
        </w:rPr>
        <w:t xml:space="preserve"> (innocent civilians)</w:t>
      </w:r>
      <w:r w:rsidR="000605A7">
        <w:rPr>
          <w:rFonts w:ascii="Times New Roman" w:hAnsi="Times New Roman" w:cs="Times New Roman"/>
          <w:sz w:val="24"/>
          <w:szCs w:val="24"/>
        </w:rPr>
        <w:t>.</w:t>
      </w:r>
    </w:p>
    <w:p w14:paraId="577F88ED" w14:textId="1A84CBBC" w:rsidR="00E60C77" w:rsidRDefault="00A867A7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14:paraId="4B64FCD2" w14:textId="15989043" w:rsidR="00A867A7" w:rsidRDefault="00A867A7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teroris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>.</w:t>
      </w:r>
    </w:p>
    <w:p w14:paraId="222BFA84" w14:textId="5A91A12D" w:rsidR="00A867A7" w:rsidRDefault="00A867A7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kompatibilitas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38">
        <w:rPr>
          <w:rFonts w:ascii="Times New Roman" w:hAnsi="Times New Roman" w:cs="Times New Roman"/>
          <w:sz w:val="24"/>
          <w:szCs w:val="24"/>
        </w:rPr>
        <w:t>keserasian</w:t>
      </w:r>
      <w:proofErr w:type="spellEnd"/>
      <w:r w:rsidR="00A2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</w:t>
      </w:r>
      <w:r w:rsidR="00A24F38"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56C84E" w14:textId="78F98A7B" w:rsidR="00A867A7" w:rsidRDefault="00333793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FF9">
        <w:rPr>
          <w:rFonts w:ascii="Times New Roman" w:hAnsi="Times New Roman" w:cs="Times New Roman"/>
          <w:i/>
          <w:iCs/>
          <w:sz w:val="24"/>
          <w:szCs w:val="24"/>
        </w:rPr>
        <w:t>best practices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mengkombinasikan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persuasive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deradikalisasi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Badan Nasional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(BNPT) </w:t>
      </w:r>
      <w:r w:rsidR="00B30FF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30FF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30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FF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30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FF9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B30FF9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="00B30FF9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="00B30F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30FF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30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FF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B30FF9">
        <w:rPr>
          <w:rFonts w:ascii="Times New Roman" w:hAnsi="Times New Roman" w:cs="Times New Roman"/>
          <w:sz w:val="24"/>
          <w:szCs w:val="24"/>
        </w:rPr>
        <w:t xml:space="preserve"> </w:t>
      </w:r>
      <w:r w:rsidR="008141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415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81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150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81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15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1415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81415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14150">
        <w:rPr>
          <w:rFonts w:ascii="Times New Roman" w:hAnsi="Times New Roman" w:cs="Times New Roman"/>
          <w:sz w:val="24"/>
          <w:szCs w:val="24"/>
        </w:rPr>
        <w:t xml:space="preserve"> 2012)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F8A9DF" w14:textId="49023FAC" w:rsidR="00B30FF9" w:rsidRPr="006E2ACC" w:rsidRDefault="006E2ACC" w:rsidP="009745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2ACC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6E2ACC">
        <w:rPr>
          <w:rFonts w:ascii="Times New Roman" w:hAnsi="Times New Roman" w:cs="Times New Roman"/>
          <w:b/>
          <w:bCs/>
          <w:sz w:val="24"/>
          <w:szCs w:val="24"/>
        </w:rPr>
        <w:t xml:space="preserve"> Sama </w:t>
      </w:r>
      <w:proofErr w:type="spellStart"/>
      <w:r w:rsidRPr="006E2ACC">
        <w:rPr>
          <w:rFonts w:ascii="Times New Roman" w:hAnsi="Times New Roman" w:cs="Times New Roman"/>
          <w:b/>
          <w:bCs/>
          <w:sz w:val="24"/>
          <w:szCs w:val="24"/>
        </w:rPr>
        <w:t>Internasional</w:t>
      </w:r>
      <w:proofErr w:type="spellEnd"/>
    </w:p>
    <w:p w14:paraId="765174C9" w14:textId="4FAFF1C6" w:rsidR="006E2ACC" w:rsidRDefault="006E2ACC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bilateral, regional</w:t>
      </w:r>
      <w:r w:rsidR="001B3612">
        <w:rPr>
          <w:rFonts w:ascii="Times New Roman" w:hAnsi="Times New Roman" w:cs="Times New Roman"/>
          <w:sz w:val="24"/>
          <w:szCs w:val="24"/>
        </w:rPr>
        <w:t xml:space="preserve"> (ASEAN)</w:t>
      </w:r>
      <w:r>
        <w:rPr>
          <w:rFonts w:ascii="Times New Roman" w:hAnsi="Times New Roman" w:cs="Times New Roman"/>
          <w:sz w:val="24"/>
          <w:szCs w:val="24"/>
        </w:rPr>
        <w:t xml:space="preserve"> dan global</w:t>
      </w:r>
      <w:r w:rsidR="001B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61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B3612">
        <w:rPr>
          <w:rFonts w:ascii="Times New Roman" w:hAnsi="Times New Roman" w:cs="Times New Roman"/>
          <w:sz w:val="24"/>
          <w:szCs w:val="24"/>
        </w:rPr>
        <w:t xml:space="preserve"> multilateral.</w:t>
      </w:r>
    </w:p>
    <w:p w14:paraId="162EC8BF" w14:textId="77777777" w:rsidR="005B6C79" w:rsidRPr="005B6C79" w:rsidRDefault="005B6C79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C79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ideal yang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r w:rsidRPr="005B6C79">
        <w:rPr>
          <w:rFonts w:ascii="Times New Roman" w:hAnsi="Times New Roman" w:cs="Times New Roman"/>
          <w:i/>
          <w:iCs/>
          <w:sz w:val="24"/>
          <w:szCs w:val="24"/>
        </w:rPr>
        <w:t>double strategy</w:t>
      </w:r>
      <w:r w:rsidRPr="005B6C7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konsolidasi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r w:rsidRPr="005B6C79">
        <w:rPr>
          <w:rFonts w:ascii="Times New Roman" w:hAnsi="Times New Roman" w:cs="Times New Roman"/>
          <w:i/>
          <w:iCs/>
          <w:sz w:val="24"/>
          <w:szCs w:val="24"/>
        </w:rPr>
        <w:t>law enforcement (plus the use of coercive force, if needed).</w:t>
      </w:r>
    </w:p>
    <w:p w14:paraId="1BD8068E" w14:textId="77777777" w:rsidR="005B6C79" w:rsidRPr="005B6C79" w:rsidRDefault="005B6C79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C79">
        <w:rPr>
          <w:rFonts w:ascii="Times New Roman" w:hAnsi="Times New Roman" w:cs="Times New Roman"/>
          <w:sz w:val="24"/>
          <w:szCs w:val="24"/>
        </w:rPr>
        <w:t>Merosotnya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lantaran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kudeta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Mesir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Indonesia “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primadona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di dunia. </w:t>
      </w:r>
    </w:p>
    <w:p w14:paraId="1E2CD6B5" w14:textId="6DFD0EA3" w:rsidR="006E2ACC" w:rsidRDefault="005B6C79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C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Australia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founder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r w:rsidRPr="005B6C79">
        <w:rPr>
          <w:rFonts w:ascii="Times New Roman" w:hAnsi="Times New Roman" w:cs="Times New Roman"/>
          <w:i/>
          <w:iCs/>
          <w:sz w:val="24"/>
          <w:szCs w:val="24"/>
        </w:rPr>
        <w:t xml:space="preserve">Global Counterterrorism Forum </w:t>
      </w:r>
      <w:r w:rsidRPr="005B6C79">
        <w:rPr>
          <w:rFonts w:ascii="Times New Roman" w:hAnsi="Times New Roman" w:cs="Times New Roman"/>
          <w:sz w:val="24"/>
          <w:szCs w:val="24"/>
        </w:rPr>
        <w:t xml:space="preserve">(GCTF)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informal untuk </w:t>
      </w:r>
      <w:r w:rsidRPr="005B6C79">
        <w:rPr>
          <w:rFonts w:ascii="Times New Roman" w:hAnsi="Times New Roman" w:cs="Times New Roman"/>
          <w:i/>
          <w:iCs/>
          <w:sz w:val="24"/>
          <w:szCs w:val="24"/>
        </w:rPr>
        <w:t>multilateral counterterrorism</w:t>
      </w:r>
      <w:r w:rsidRPr="005B6C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482629" w14:textId="77777777" w:rsidR="005B6C79" w:rsidRPr="005B6C79" w:rsidRDefault="005B6C79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C7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2012 Indonesia dan Australia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r w:rsidRPr="005B6C79">
        <w:rPr>
          <w:rFonts w:ascii="Times New Roman" w:hAnsi="Times New Roman" w:cs="Times New Roman"/>
          <w:i/>
          <w:iCs/>
          <w:sz w:val="24"/>
          <w:szCs w:val="24"/>
        </w:rPr>
        <w:t>co-chair</w:t>
      </w:r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r w:rsidRPr="005B6C79">
        <w:rPr>
          <w:rFonts w:ascii="Times New Roman" w:hAnsi="Times New Roman" w:cs="Times New Roman"/>
          <w:i/>
          <w:iCs/>
          <w:sz w:val="24"/>
          <w:szCs w:val="24"/>
        </w:rPr>
        <w:t>Inaugural meeting of the Southeast Asia Working Group of GCTF</w:t>
      </w:r>
      <w:r w:rsidRPr="005B6C79">
        <w:rPr>
          <w:rFonts w:ascii="Times New Roman" w:hAnsi="Times New Roman" w:cs="Times New Roman"/>
          <w:sz w:val="24"/>
          <w:szCs w:val="24"/>
        </w:rPr>
        <w:t xml:space="preserve"> di Semarang.</w:t>
      </w:r>
    </w:p>
    <w:p w14:paraId="33ECD5F3" w14:textId="182E39E7" w:rsidR="005B6C79" w:rsidRDefault="005B6C79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C79">
        <w:rPr>
          <w:rFonts w:ascii="Times New Roman" w:hAnsi="Times New Roman" w:cs="Times New Roman"/>
          <w:sz w:val="24"/>
          <w:szCs w:val="24"/>
        </w:rPr>
        <w:t xml:space="preserve">AS dan Australia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r w:rsidRPr="005B6C79">
        <w:rPr>
          <w:rFonts w:ascii="Times New Roman" w:hAnsi="Times New Roman" w:cs="Times New Roman"/>
          <w:i/>
          <w:iCs/>
          <w:sz w:val="24"/>
          <w:szCs w:val="24"/>
        </w:rPr>
        <w:t>capacity building</w:t>
      </w:r>
      <w:r w:rsidRPr="005B6C79">
        <w:rPr>
          <w:rFonts w:ascii="Times New Roman" w:hAnsi="Times New Roman" w:cs="Times New Roman"/>
          <w:sz w:val="24"/>
          <w:szCs w:val="24"/>
        </w:rPr>
        <w:t xml:space="preserve"> dan </w:t>
      </w:r>
      <w:r w:rsidRPr="005B6C79">
        <w:rPr>
          <w:rFonts w:ascii="Times New Roman" w:hAnsi="Times New Roman" w:cs="Times New Roman"/>
          <w:i/>
          <w:iCs/>
          <w:sz w:val="24"/>
          <w:szCs w:val="24"/>
        </w:rPr>
        <w:t>training</w:t>
      </w:r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C79">
        <w:rPr>
          <w:rFonts w:ascii="Times New Roman" w:hAnsi="Times New Roman" w:cs="Times New Roman"/>
          <w:sz w:val="24"/>
          <w:szCs w:val="24"/>
        </w:rPr>
        <w:t>Densus</w:t>
      </w:r>
      <w:proofErr w:type="spellEnd"/>
      <w:r w:rsidRPr="005B6C79">
        <w:rPr>
          <w:rFonts w:ascii="Times New Roman" w:hAnsi="Times New Roman" w:cs="Times New Roman"/>
          <w:sz w:val="24"/>
          <w:szCs w:val="24"/>
        </w:rPr>
        <w:t xml:space="preserve"> 88.</w:t>
      </w:r>
    </w:p>
    <w:p w14:paraId="40701C6C" w14:textId="30B66A24" w:rsidR="005B6C79" w:rsidRPr="008D04E1" w:rsidRDefault="0049732F" w:rsidP="009745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04E1">
        <w:rPr>
          <w:rFonts w:ascii="Times New Roman" w:hAnsi="Times New Roman" w:cs="Times New Roman"/>
          <w:b/>
          <w:bCs/>
          <w:sz w:val="24"/>
          <w:szCs w:val="24"/>
        </w:rPr>
        <w:t>Kontribusi</w:t>
      </w:r>
      <w:proofErr w:type="spellEnd"/>
      <w:r w:rsidRPr="008D04E1">
        <w:rPr>
          <w:rFonts w:ascii="Times New Roman" w:hAnsi="Times New Roman" w:cs="Times New Roman"/>
          <w:b/>
          <w:bCs/>
          <w:sz w:val="24"/>
          <w:szCs w:val="24"/>
        </w:rPr>
        <w:t xml:space="preserve"> Indonesia </w:t>
      </w:r>
      <w:proofErr w:type="spellStart"/>
      <w:r w:rsidRPr="008D04E1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8D0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04E1">
        <w:rPr>
          <w:rFonts w:ascii="Times New Roman" w:hAnsi="Times New Roman" w:cs="Times New Roman"/>
          <w:b/>
          <w:bCs/>
          <w:sz w:val="24"/>
          <w:szCs w:val="24"/>
        </w:rPr>
        <w:t>Upaya</w:t>
      </w:r>
      <w:proofErr w:type="spellEnd"/>
      <w:r w:rsidRPr="008D04E1">
        <w:rPr>
          <w:rFonts w:ascii="Times New Roman" w:hAnsi="Times New Roman" w:cs="Times New Roman"/>
          <w:b/>
          <w:bCs/>
          <w:sz w:val="24"/>
          <w:szCs w:val="24"/>
        </w:rPr>
        <w:t xml:space="preserve"> Regional dan Global </w:t>
      </w:r>
      <w:proofErr w:type="spellStart"/>
      <w:r w:rsidRPr="008D04E1">
        <w:rPr>
          <w:rFonts w:ascii="Times New Roman" w:hAnsi="Times New Roman" w:cs="Times New Roman"/>
          <w:b/>
          <w:bCs/>
          <w:sz w:val="24"/>
          <w:szCs w:val="24"/>
        </w:rPr>
        <w:t>Memberantas</w:t>
      </w:r>
      <w:proofErr w:type="spellEnd"/>
      <w:r w:rsidRPr="008D0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04E1">
        <w:rPr>
          <w:rFonts w:ascii="Times New Roman" w:hAnsi="Times New Roman" w:cs="Times New Roman"/>
          <w:b/>
          <w:bCs/>
          <w:sz w:val="24"/>
          <w:szCs w:val="24"/>
        </w:rPr>
        <w:t>Terorisme</w:t>
      </w:r>
      <w:proofErr w:type="spellEnd"/>
    </w:p>
    <w:p w14:paraId="6112AD5C" w14:textId="3F969DE8" w:rsidR="005B6C79" w:rsidRDefault="0049732F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reputasinya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958">
        <w:rPr>
          <w:rFonts w:ascii="Times New Roman" w:hAnsi="Times New Roman" w:cs="Times New Roman"/>
          <w:i/>
          <w:iCs/>
          <w:sz w:val="24"/>
          <w:szCs w:val="24"/>
        </w:rPr>
        <w:t>the weakest link of regional antiterrorist policy networks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958">
        <w:rPr>
          <w:rFonts w:ascii="Times New Roman" w:hAnsi="Times New Roman" w:cs="Times New Roman"/>
          <w:i/>
          <w:iCs/>
          <w:sz w:val="24"/>
          <w:szCs w:val="24"/>
        </w:rPr>
        <w:t>credible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terrorist di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Malaysia, Singapura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Philipina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32F">
        <w:rPr>
          <w:rFonts w:ascii="Times New Roman" w:hAnsi="Times New Roman" w:cs="Times New Roman"/>
          <w:i/>
          <w:iCs/>
          <w:sz w:val="24"/>
          <w:szCs w:val="24"/>
        </w:rPr>
        <w:t>clandestine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349212" w14:textId="223AD97F" w:rsidR="005B6C79" w:rsidRDefault="008C1F61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SBY dan Jokowi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memproyeksikan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untuk negara-negara di Timur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dikonsolidasi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F61">
        <w:rPr>
          <w:rFonts w:ascii="Times New Roman" w:hAnsi="Times New Roman" w:cs="Times New Roman"/>
          <w:i/>
          <w:iCs/>
          <w:sz w:val="24"/>
          <w:szCs w:val="24"/>
        </w:rPr>
        <w:t>credible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6ADE9" w14:textId="6874FD74" w:rsidR="005B6C79" w:rsidRDefault="0096313A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konstituen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di Afghanistan,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Irak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Libya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Israel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2C372F" w14:textId="41476ED7" w:rsidR="005B6C79" w:rsidRDefault="0096313A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 (NU) dan Muhammadiyah, Kementerian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memprakarsai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forum </w:t>
      </w:r>
      <w:r w:rsidRPr="0096313A">
        <w:rPr>
          <w:rFonts w:ascii="Times New Roman" w:hAnsi="Times New Roman" w:cs="Times New Roman"/>
          <w:i/>
          <w:iCs/>
          <w:sz w:val="24"/>
          <w:szCs w:val="24"/>
        </w:rPr>
        <w:t>interfaith dialogue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7B1942" w14:textId="6CA859E5" w:rsidR="005B6C79" w:rsidRDefault="003E623E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Masyarakat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4E1">
        <w:rPr>
          <w:rFonts w:ascii="Times New Roman" w:hAnsi="Times New Roman" w:cs="Times New Roman"/>
          <w:i/>
          <w:iCs/>
          <w:sz w:val="24"/>
          <w:szCs w:val="24"/>
        </w:rPr>
        <w:t>social capital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radikalisme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agama. </w:t>
      </w:r>
    </w:p>
    <w:p w14:paraId="118D93E4" w14:textId="78CA4081" w:rsidR="005B6C79" w:rsidRDefault="008D04E1" w:rsidP="009745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CD0">
        <w:rPr>
          <w:rFonts w:ascii="Times New Roman" w:hAnsi="Times New Roman" w:cs="Times New Roman"/>
          <w:b/>
          <w:bCs/>
          <w:sz w:val="24"/>
          <w:szCs w:val="24"/>
        </w:rPr>
        <w:t>Konstruksi</w:t>
      </w:r>
      <w:proofErr w:type="spellEnd"/>
      <w:r w:rsidRPr="00D62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2CD0">
        <w:rPr>
          <w:rFonts w:ascii="Times New Roman" w:hAnsi="Times New Roman" w:cs="Times New Roman"/>
          <w:b/>
          <w:bCs/>
          <w:sz w:val="24"/>
          <w:szCs w:val="24"/>
        </w:rPr>
        <w:t>identitas</w:t>
      </w:r>
      <w:proofErr w:type="spellEnd"/>
      <w:r w:rsidRPr="00D62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2CD0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D62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2CD0">
        <w:rPr>
          <w:rFonts w:ascii="Times New Roman" w:hAnsi="Times New Roman" w:cs="Times New Roman"/>
          <w:b/>
          <w:bCs/>
          <w:sz w:val="24"/>
          <w:szCs w:val="24"/>
        </w:rPr>
        <w:t>luar</w:t>
      </w:r>
      <w:proofErr w:type="spellEnd"/>
      <w:r w:rsidRPr="00D62CD0">
        <w:rPr>
          <w:rFonts w:ascii="Times New Roman" w:hAnsi="Times New Roman" w:cs="Times New Roman"/>
          <w:b/>
          <w:bCs/>
          <w:sz w:val="24"/>
          <w:szCs w:val="24"/>
        </w:rPr>
        <w:t xml:space="preserve"> negeri RI </w:t>
      </w:r>
      <w:proofErr w:type="spellStart"/>
      <w:r w:rsidRPr="00D62CD0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D62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2CD0">
        <w:rPr>
          <w:rFonts w:ascii="Times New Roman" w:hAnsi="Times New Roman" w:cs="Times New Roman"/>
          <w:b/>
          <w:bCs/>
          <w:sz w:val="24"/>
          <w:szCs w:val="24"/>
        </w:rPr>
        <w:t>kekuatan</w:t>
      </w:r>
      <w:proofErr w:type="spellEnd"/>
      <w:r w:rsidRPr="00D62CD0">
        <w:rPr>
          <w:rFonts w:ascii="Times New Roman" w:hAnsi="Times New Roman" w:cs="Times New Roman"/>
          <w:b/>
          <w:bCs/>
          <w:sz w:val="24"/>
          <w:szCs w:val="24"/>
        </w:rPr>
        <w:t xml:space="preserve"> Islam </w:t>
      </w:r>
      <w:proofErr w:type="spellStart"/>
      <w:r w:rsidRPr="00D62CD0">
        <w:rPr>
          <w:rFonts w:ascii="Times New Roman" w:hAnsi="Times New Roman" w:cs="Times New Roman"/>
          <w:b/>
          <w:bCs/>
          <w:sz w:val="24"/>
          <w:szCs w:val="24"/>
        </w:rPr>
        <w:t>moderat</w:t>
      </w:r>
      <w:proofErr w:type="spellEnd"/>
      <w:r w:rsidRPr="00D62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2CD0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D62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2CD0">
        <w:rPr>
          <w:rFonts w:ascii="Times New Roman" w:hAnsi="Times New Roman" w:cs="Times New Roman"/>
          <w:b/>
          <w:bCs/>
          <w:sz w:val="24"/>
          <w:szCs w:val="24"/>
        </w:rPr>
        <w:t>politik</w:t>
      </w:r>
      <w:proofErr w:type="spellEnd"/>
      <w:r w:rsidRPr="00D62CD0">
        <w:rPr>
          <w:rFonts w:ascii="Times New Roman" w:hAnsi="Times New Roman" w:cs="Times New Roman"/>
          <w:b/>
          <w:bCs/>
          <w:sz w:val="24"/>
          <w:szCs w:val="24"/>
        </w:rPr>
        <w:t xml:space="preserve"> global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4E9495" w14:textId="7D89357A" w:rsidR="00CE3D40" w:rsidRDefault="00CE3D40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menggarisbawahi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Delphine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3D40">
        <w:rPr>
          <w:rFonts w:ascii="Times New Roman" w:hAnsi="Times New Roman" w:cs="Times New Roman"/>
          <w:i/>
          <w:iCs/>
          <w:sz w:val="24"/>
          <w:szCs w:val="24"/>
        </w:rPr>
        <w:t>Transnational activities in general, and those carried out by Islamic actors in particular, contribute to shape Indonesia’s image and the terms of the domestic debate on international issues, hence playing a role in the determination of the country’s predominant international outlook and interests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Delhine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63F2">
        <w:rPr>
          <w:rFonts w:ascii="Times New Roman" w:hAnsi="Times New Roman" w:cs="Times New Roman"/>
          <w:sz w:val="24"/>
          <w:szCs w:val="24"/>
        </w:rPr>
        <w:t xml:space="preserve">2016, p. 8). </w:t>
      </w:r>
    </w:p>
    <w:p w14:paraId="021991E3" w14:textId="6DBACCC5" w:rsidR="005B6C79" w:rsidRDefault="00480794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di Timur Tengah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794">
        <w:rPr>
          <w:rFonts w:ascii="Times New Roman" w:hAnsi="Times New Roman" w:cs="Times New Roman"/>
          <w:i/>
          <w:iCs/>
          <w:sz w:val="24"/>
          <w:szCs w:val="24"/>
        </w:rPr>
        <w:t>soft 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9FCB20" w14:textId="17039296" w:rsidR="005B6C79" w:rsidRDefault="00480794" w:rsidP="0097451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B59">
        <w:rPr>
          <w:rFonts w:ascii="Times New Roman" w:hAnsi="Times New Roman" w:cs="Times New Roman"/>
          <w:sz w:val="24"/>
          <w:szCs w:val="24"/>
        </w:rPr>
        <w:t xml:space="preserve">(Christian-Reus Smith, 2013)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memproyeksikan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global.</w:t>
      </w:r>
    </w:p>
    <w:p w14:paraId="6497ACC4" w14:textId="3F304259" w:rsidR="005B6C79" w:rsidRPr="00D86DEF" w:rsidRDefault="00D86DEF" w:rsidP="00974514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6DEF">
        <w:rPr>
          <w:rFonts w:ascii="Times New Roman" w:hAnsi="Times New Roman" w:cs="Times New Roman"/>
          <w:b/>
          <w:bCs/>
          <w:sz w:val="24"/>
          <w:szCs w:val="24"/>
        </w:rPr>
        <w:t>Imajinasi</w:t>
      </w:r>
      <w:proofErr w:type="spellEnd"/>
      <w:r w:rsidRPr="00D86D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6E28E6" w14:textId="5223CDDB" w:rsidR="005B6C79" w:rsidRDefault="005B6C79" w:rsidP="00D86DEF">
      <w:pPr>
        <w:pStyle w:val="ListParagraph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29D1D48" w14:textId="57F78FD1" w:rsidR="005B6C79" w:rsidRDefault="00D86DEF" w:rsidP="00974514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majemuk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Pancasila. </w:t>
      </w:r>
      <w:proofErr w:type="spellStart"/>
      <w:r w:rsidRPr="00D0570D">
        <w:rPr>
          <w:rFonts w:ascii="Times New Roman" w:hAnsi="Times New Roman" w:cs="Times New Roman"/>
          <w:b/>
          <w:bCs/>
          <w:sz w:val="24"/>
          <w:szCs w:val="24"/>
        </w:rPr>
        <w:t>Imajinasi</w:t>
      </w:r>
      <w:proofErr w:type="spellEnd"/>
      <w:r w:rsidRPr="00D0570D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D0570D">
        <w:rPr>
          <w:rFonts w:ascii="Times New Roman" w:hAnsi="Times New Roman" w:cs="Times New Roman"/>
          <w:b/>
          <w:bCs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0D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="00D0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0D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D057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570D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="00D0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0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0570D">
        <w:rPr>
          <w:rFonts w:ascii="Times New Roman" w:hAnsi="Times New Roman" w:cs="Times New Roman"/>
          <w:sz w:val="24"/>
          <w:szCs w:val="24"/>
        </w:rPr>
        <w:t xml:space="preserve"> Indonesia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E4A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Jokowi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57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2016) untuk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menggodok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FE4A56">
        <w:rPr>
          <w:rFonts w:ascii="Times New Roman" w:hAnsi="Times New Roman" w:cs="Times New Roman"/>
          <w:sz w:val="24"/>
          <w:szCs w:val="24"/>
        </w:rPr>
        <w:t>moderat</w:t>
      </w:r>
      <w:proofErr w:type="spellEnd"/>
      <w:r w:rsidR="00FE4A56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36EE5F91" w14:textId="77777777" w:rsidR="00D00972" w:rsidRDefault="00D00972" w:rsidP="00D86DEF">
      <w:pPr>
        <w:pStyle w:val="ListParagraph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0D8D856D" w14:textId="3D947A69" w:rsidR="005B6C79" w:rsidRPr="00D0570D" w:rsidRDefault="00D86DEF" w:rsidP="00974514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570D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0428F2A1" w14:textId="31F0ADDB" w:rsidR="005B6C79" w:rsidRDefault="005B6C79" w:rsidP="00D0570D">
      <w:pPr>
        <w:pStyle w:val="ListParagraph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794A7A34" w14:textId="71DC225C" w:rsidR="005B6C79" w:rsidRDefault="00D0570D" w:rsidP="00974514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menjustifikasi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9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97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0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0097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D00972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D00972">
        <w:rPr>
          <w:rFonts w:ascii="Times New Roman" w:hAnsi="Times New Roman" w:cs="Times New Roman"/>
          <w:sz w:val="24"/>
          <w:szCs w:val="24"/>
        </w:rPr>
        <w:t xml:space="preserve"> negara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memprakarsai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0D">
        <w:rPr>
          <w:rFonts w:ascii="Times New Roman" w:hAnsi="Times New Roman" w:cs="Times New Roman"/>
          <w:i/>
          <w:iCs/>
          <w:sz w:val="24"/>
          <w:szCs w:val="24"/>
        </w:rPr>
        <w:t>Bali Democracy Forum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D0570D">
        <w:rPr>
          <w:rFonts w:ascii="Times New Roman" w:hAnsi="Times New Roman" w:cs="Times New Roman"/>
          <w:i/>
          <w:iCs/>
          <w:sz w:val="24"/>
          <w:szCs w:val="24"/>
        </w:rPr>
        <w:t>interfaith dialogue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0D">
        <w:rPr>
          <w:rFonts w:ascii="Times New Roman" w:hAnsi="Times New Roman" w:cs="Times New Roman"/>
          <w:i/>
          <w:iCs/>
          <w:sz w:val="24"/>
          <w:szCs w:val="24"/>
        </w:rPr>
        <w:t>soft power diplomacy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AB55C9" w14:textId="5406FD00" w:rsidR="005B6C79" w:rsidRDefault="005B6C79" w:rsidP="00D0570D">
      <w:pPr>
        <w:pStyle w:val="ListParagraph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F8DA4E1" w14:textId="1CAF3EE8" w:rsidR="00D00972" w:rsidRPr="00E74A60" w:rsidRDefault="00D00972" w:rsidP="00974514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74A60">
        <w:rPr>
          <w:rFonts w:ascii="Times New Roman" w:hAnsi="Times New Roman" w:cs="Times New Roman"/>
          <w:b/>
          <w:bCs/>
          <w:sz w:val="24"/>
          <w:szCs w:val="24"/>
        </w:rPr>
        <w:t>Kepatuhan</w:t>
      </w:r>
      <w:proofErr w:type="spellEnd"/>
      <w:r w:rsidRPr="00E74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A60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E74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A60">
        <w:rPr>
          <w:rFonts w:ascii="Times New Roman" w:hAnsi="Times New Roman" w:cs="Times New Roman"/>
          <w:b/>
          <w:bCs/>
          <w:sz w:val="24"/>
          <w:szCs w:val="24"/>
        </w:rPr>
        <w:t>norma</w:t>
      </w:r>
      <w:proofErr w:type="spellEnd"/>
      <w:r w:rsidRPr="00E74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A60">
        <w:rPr>
          <w:rFonts w:ascii="Times New Roman" w:hAnsi="Times New Roman" w:cs="Times New Roman"/>
          <w:b/>
          <w:bCs/>
          <w:sz w:val="24"/>
          <w:szCs w:val="24"/>
        </w:rPr>
        <w:t>demokrasi</w:t>
      </w:r>
      <w:proofErr w:type="spellEnd"/>
      <w:r w:rsidRPr="00E74A60">
        <w:rPr>
          <w:rFonts w:ascii="Times New Roman" w:hAnsi="Times New Roman" w:cs="Times New Roman"/>
          <w:b/>
          <w:bCs/>
          <w:sz w:val="24"/>
          <w:szCs w:val="24"/>
        </w:rPr>
        <w:t xml:space="preserve"> dan HAM </w:t>
      </w:r>
      <w:proofErr w:type="spellStart"/>
      <w:r w:rsidRPr="00E74A60">
        <w:rPr>
          <w:rFonts w:ascii="Times New Roman" w:hAnsi="Times New Roman" w:cs="Times New Roman"/>
          <w:b/>
          <w:bCs/>
          <w:sz w:val="24"/>
          <w:szCs w:val="24"/>
        </w:rPr>
        <w:t>internasional</w:t>
      </w:r>
      <w:proofErr w:type="spellEnd"/>
    </w:p>
    <w:p w14:paraId="4B1C5692" w14:textId="77777777" w:rsidR="00D00972" w:rsidRDefault="00D00972" w:rsidP="00D00972">
      <w:pPr>
        <w:pStyle w:val="ListParagraph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2B24C1F1" w14:textId="30DEB2CC" w:rsidR="005B6C79" w:rsidRDefault="00D00972" w:rsidP="00974514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</w:t>
      </w:r>
      <w:r w:rsidR="00E74A6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kepatuhannya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yang universal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diyakinkan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kompatibilitas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Islam di Indonesia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mengukuhkan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A60">
        <w:rPr>
          <w:rFonts w:ascii="Times New Roman" w:hAnsi="Times New Roman" w:cs="Times New Roman"/>
          <w:sz w:val="24"/>
          <w:szCs w:val="24"/>
        </w:rPr>
        <w:t>eksistensinya</w:t>
      </w:r>
      <w:proofErr w:type="spellEnd"/>
      <w:r w:rsidR="00E74A60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6A7E0683" w14:textId="3C17F5BB" w:rsidR="005B6C79" w:rsidRDefault="00FE4A56" w:rsidP="00E3559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Myanmar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Afghanistan.</w:t>
      </w:r>
    </w:p>
    <w:p w14:paraId="7E3AE3EB" w14:textId="013BB464" w:rsidR="005B6C79" w:rsidRDefault="006063D5" w:rsidP="00E3559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dan global</w:t>
      </w:r>
    </w:p>
    <w:p w14:paraId="6A8400EB" w14:textId="1E9EE059" w:rsidR="005B6C79" w:rsidRDefault="006063D5" w:rsidP="006063D5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dan Muhammadiyah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RI</w:t>
      </w:r>
    </w:p>
    <w:p w14:paraId="50117AD1" w14:textId="1760B38B" w:rsidR="005B6C79" w:rsidRDefault="00756A1C" w:rsidP="006063D5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di DPR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Indonesia</w:t>
      </w:r>
    </w:p>
    <w:p w14:paraId="73D4962A" w14:textId="0A2FEE37" w:rsidR="005B6C79" w:rsidRPr="005B6C79" w:rsidRDefault="00E442E0" w:rsidP="006063D5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B5A34F" w14:textId="5846EB35" w:rsidR="000A45AC" w:rsidRDefault="000A45AC" w:rsidP="000A45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A4478" w14:textId="3E058650" w:rsidR="000A45AC" w:rsidRDefault="000A45AC" w:rsidP="000A45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5AF"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4FE73F7" w14:textId="4B48BF51" w:rsidR="000A45AC" w:rsidRDefault="000A45AC" w:rsidP="000A4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Delphine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(2016). </w:t>
      </w:r>
      <w:r w:rsidRPr="000A45AC">
        <w:rPr>
          <w:rFonts w:ascii="Times New Roman" w:hAnsi="Times New Roman" w:cs="Times New Roman"/>
          <w:i/>
          <w:iCs/>
          <w:sz w:val="24"/>
          <w:szCs w:val="24"/>
        </w:rPr>
        <w:t>Transnational Islamic Actors and Indonesia’s Foreign Policy: Transcending the State</w:t>
      </w:r>
      <w:r>
        <w:rPr>
          <w:rFonts w:ascii="Times New Roman" w:hAnsi="Times New Roman" w:cs="Times New Roman"/>
          <w:sz w:val="24"/>
          <w:szCs w:val="24"/>
        </w:rPr>
        <w:t>. London: Routledge. p. 8.</w:t>
      </w:r>
    </w:p>
    <w:p w14:paraId="40E06D27" w14:textId="77777777" w:rsidR="000F35AF" w:rsidRPr="000F35AF" w:rsidRDefault="000F35AF" w:rsidP="000F35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35AF" w:rsidRPr="000F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5AE"/>
    <w:multiLevelType w:val="hybridMultilevel"/>
    <w:tmpl w:val="9E56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60F26"/>
    <w:multiLevelType w:val="hybridMultilevel"/>
    <w:tmpl w:val="98CC538A"/>
    <w:lvl w:ilvl="0" w:tplc="5D1E9E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2CA7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94A5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D261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9AB3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74E4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88A0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26D4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0E46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F42315F"/>
    <w:multiLevelType w:val="hybridMultilevel"/>
    <w:tmpl w:val="9050F242"/>
    <w:lvl w:ilvl="0" w:tplc="4E72CA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EC73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A4B9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5E60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42D0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9CA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9C91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C06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42B3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FCB6BAB"/>
    <w:multiLevelType w:val="hybridMultilevel"/>
    <w:tmpl w:val="5AC82F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FD"/>
    <w:rsid w:val="000605A7"/>
    <w:rsid w:val="000A45AC"/>
    <w:rsid w:val="000F35AF"/>
    <w:rsid w:val="00155CD1"/>
    <w:rsid w:val="00156F1E"/>
    <w:rsid w:val="001B3612"/>
    <w:rsid w:val="001B4A82"/>
    <w:rsid w:val="00225748"/>
    <w:rsid w:val="002A3C99"/>
    <w:rsid w:val="00316AE7"/>
    <w:rsid w:val="00333793"/>
    <w:rsid w:val="003D5098"/>
    <w:rsid w:val="003E623E"/>
    <w:rsid w:val="00480794"/>
    <w:rsid w:val="0049732F"/>
    <w:rsid w:val="005B6C79"/>
    <w:rsid w:val="005F2068"/>
    <w:rsid w:val="006063D5"/>
    <w:rsid w:val="00616A3C"/>
    <w:rsid w:val="00645C4A"/>
    <w:rsid w:val="00665624"/>
    <w:rsid w:val="006E2ACC"/>
    <w:rsid w:val="00756A1C"/>
    <w:rsid w:val="007829DE"/>
    <w:rsid w:val="007F4EF1"/>
    <w:rsid w:val="00814150"/>
    <w:rsid w:val="008776EF"/>
    <w:rsid w:val="008C1F61"/>
    <w:rsid w:val="008D04E1"/>
    <w:rsid w:val="00957BA2"/>
    <w:rsid w:val="0096313A"/>
    <w:rsid w:val="00974514"/>
    <w:rsid w:val="00A212F4"/>
    <w:rsid w:val="00A24F38"/>
    <w:rsid w:val="00A867A7"/>
    <w:rsid w:val="00A916D1"/>
    <w:rsid w:val="00AD0958"/>
    <w:rsid w:val="00B30FF9"/>
    <w:rsid w:val="00C53AB5"/>
    <w:rsid w:val="00C95B59"/>
    <w:rsid w:val="00CE3D40"/>
    <w:rsid w:val="00D00972"/>
    <w:rsid w:val="00D0570D"/>
    <w:rsid w:val="00D62CD0"/>
    <w:rsid w:val="00D86DEF"/>
    <w:rsid w:val="00D94CFD"/>
    <w:rsid w:val="00DA63F2"/>
    <w:rsid w:val="00E35590"/>
    <w:rsid w:val="00E442E0"/>
    <w:rsid w:val="00E60C77"/>
    <w:rsid w:val="00E74A60"/>
    <w:rsid w:val="00E7787F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B67B"/>
  <w15:chartTrackingRefBased/>
  <w15:docId w15:val="{DF4278D1-3ADB-4D37-8EFC-E9DABD98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25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9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23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3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10" ma:contentTypeDescription="Create a new document." ma:contentTypeScope="" ma:versionID="bd94a357cf52f9a6dcd07849d5d4d472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42b9f9105d80c823c097072a12f5c8f6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B6BD5-7708-48EB-812E-9CBFCB522B80}"/>
</file>

<file path=customXml/itemProps2.xml><?xml version="1.0" encoding="utf-8"?>
<ds:datastoreItem xmlns:ds="http://schemas.openxmlformats.org/officeDocument/2006/customXml" ds:itemID="{751E8BCE-E089-4CBC-88C4-B3E1BFE4A35A}"/>
</file>

<file path=customXml/itemProps3.xml><?xml version="1.0" encoding="utf-8"?>
<ds:datastoreItem xmlns:ds="http://schemas.openxmlformats.org/officeDocument/2006/customXml" ds:itemID="{C4B01496-E25C-40F7-BA42-1A972DB1E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49</cp:revision>
  <cp:lastPrinted>2019-08-01T02:15:00Z</cp:lastPrinted>
  <dcterms:created xsi:type="dcterms:W3CDTF">2019-07-29T01:03:00Z</dcterms:created>
  <dcterms:modified xsi:type="dcterms:W3CDTF">2019-08-01T09:02:00Z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</Properties>
</file>